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39F7FB3B" w:rsidR="007C2FEE" w:rsidRPr="007313E6" w:rsidRDefault="00D461EF" w:rsidP="007C2FEE">
      <w:pPr>
        <w:pStyle w:val="Head"/>
      </w:pPr>
      <w:r>
        <w:rPr>
          <w:lang w:val="it-IT"/>
        </w:rPr>
        <w:t xml:space="preserve">Kleemann │ Forti nel riciclaggio dell’asfalto </w:t>
      </w:r>
    </w:p>
    <w:p w14:paraId="34A89D42" w14:textId="04FCE19B" w:rsidR="007C2FEE" w:rsidRPr="007313E6" w:rsidRDefault="0088586E" w:rsidP="007C2FEE">
      <w:pPr>
        <w:pStyle w:val="Subhead"/>
      </w:pPr>
      <w:r>
        <w:rPr>
          <w:bCs/>
          <w:iCs w:val="0"/>
          <w:lang w:val="it-IT"/>
        </w:rPr>
        <w:t>Il MOBISCREEN MSS 502 EVO, il frantoio ad urto MOBIREX MR 100 NEO e due nastri di accumulo MOBIBELT uniscono le forze</w:t>
      </w:r>
    </w:p>
    <w:p w14:paraId="43A5AB78" w14:textId="6B4B32EF" w:rsidR="007C2FEE" w:rsidRPr="007313E6" w:rsidRDefault="007313E6" w:rsidP="007C2FEE">
      <w:pPr>
        <w:pStyle w:val="Teaser"/>
      </w:pPr>
      <w:r>
        <w:rPr>
          <w:bCs/>
          <w:lang w:val="it-IT"/>
        </w:rPr>
        <w:t xml:space="preserve">Con una catena di processo studiata nel dettaglio, macchine innovative e soluzioni digitali, il riciclaggio dell’asfalto scarificato risulta efficiente e conforme alle norme. In questo quadro, il treno di macchine Kleemann svolge un ruolo fondamentale: il trattamento del fresato avviene in modo preciso, altamente performante ed economico. Allo stesso tempo, è possibile approfittare dell’ampia offerta completa del Wirtgen Group. </w:t>
      </w:r>
    </w:p>
    <w:p w14:paraId="39990447" w14:textId="77777777" w:rsidR="00A8331C" w:rsidRPr="00DF749E" w:rsidRDefault="00A8331C" w:rsidP="00A8331C">
      <w:pPr>
        <w:pStyle w:val="Teaserhead"/>
      </w:pPr>
      <w:r>
        <w:rPr>
          <w:bCs/>
          <w:lang w:val="it-IT"/>
        </w:rPr>
        <w:t>Dalla scarifica al nuovo prodotto</w:t>
      </w:r>
    </w:p>
    <w:p w14:paraId="3E45E87E" w14:textId="7A2A837A" w:rsidR="00A8331C" w:rsidRPr="007313E6" w:rsidRDefault="00A8331C" w:rsidP="00A8331C">
      <w:pPr>
        <w:pStyle w:val="Fotos"/>
        <w:jc w:val="both"/>
        <w:rPr>
          <w:b w:val="0"/>
        </w:rPr>
      </w:pPr>
      <w:r>
        <w:rPr>
          <w:b w:val="0"/>
          <w:lang w:val="it-IT"/>
        </w:rPr>
        <w:t>Con il nuovo treno di macchine Kleemann, composto da impianto di vagliatura grossolana MOBISCREEN MSS 502 EVO, frantoio ad urto MOBIREX MR 100 NEO e nastro di accumulo MBT 20, è possibile lavorare delle frazioni omogenee – in questo modo vengono ottenuti degli inerti che soddisfano i requisiti normativi per il riutilizzo del conglomerato bituminoso. Il treno di macchine si inserisce nel circolo virtuoso: il gioco di squadra nel riciclaggio dell’asfalto inizia con la fresatura selettiva. Lo strato portante di asfalto, di collegamento e di usura viene fresato con le frese Wirtgen, aumentando la qualità del materiale di riciclaggio. Dopo la vagliatura e la frantumazione con il treno di macchine Kleemann, il materiale passa agli impianti di confezionamento. Lì, il materiale trattato diventa parte del nuovo conglomerato bituminoso. Le macchine Vögele e Hamm chiudono il cerchio con la stesa e la compattazione. In questo modo, dalla scarifica al trattamento e al riutilizzo, si crea un circolo virtuoso e perfettamente coordinato.</w:t>
      </w:r>
    </w:p>
    <w:p w14:paraId="60794B06" w14:textId="4C02E4EB" w:rsidR="00A8331C" w:rsidRPr="007313E6" w:rsidRDefault="00A8331C" w:rsidP="00A8331C">
      <w:pPr>
        <w:pStyle w:val="Teaserhead"/>
      </w:pPr>
      <w:r>
        <w:rPr>
          <w:bCs/>
          <w:lang w:val="it-IT"/>
        </w:rPr>
        <w:t>Il treno di macchine Kleemann</w:t>
      </w:r>
    </w:p>
    <w:p w14:paraId="500A0080" w14:textId="54AC99D5" w:rsidR="00AC1B04" w:rsidRPr="007313E6" w:rsidRDefault="00A8331C" w:rsidP="002D68F0">
      <w:pPr>
        <w:pStyle w:val="Listenabsatz"/>
        <w:spacing w:after="220"/>
        <w:ind w:left="0"/>
        <w:jc w:val="both"/>
      </w:pPr>
      <w:r>
        <w:rPr>
          <w:rFonts w:ascii="Verdana" w:hAnsi="Verdana"/>
          <w:sz w:val="22"/>
          <w:lang w:val="it-IT"/>
        </w:rPr>
        <w:t>Il nuovo treno di macchine Kleemann è impiegato dall’impresa edile Kutter in Algovia, nei pressi di Memmingen. In primo luogo, l’asfalto scarificato viene conferito nell’impianto di vagliatura grossolana. Le grandi zolle di fresato &gt; 500 mm, prodottesi a causa dell’immagazzinamento, vengono in primo luogo frantumate. L’intero processo è costituito da un solo passaggio: l’impianto di vagliatura grossolana viene alimentato con il fresato di 0 – 120 mm. Il MSS 502 EVO fornisce un prodotto finale utilizzabile immediatamente, che contiene la massima percentuale di bitume. Il secondo prodotto del MSS 502 EVO viene trasferito attraverso il nastro per pezzatura media e il nastro di accumulo MBT 20 al MR 100 NEO e mescolato con il prodotto finale del MR 100 NEO. Il terzo prodotto del MSS 502 EVO, il sopravaglio, viene passato al MR 100 NEO, che produce un ulteriore prodotto finale. In questo modo si ottengono dei prodotti finali omogenei, che possono essere trasferiti all’impianto di confezionamento con la massima percentuale di aggiunta. Un ulteriore nastro di accumulo MBT 24 garantisce un grande accumulo di materiale.</w:t>
      </w:r>
    </w:p>
    <w:p w14:paraId="6367C188" w14:textId="6DD77B23" w:rsidR="00A8331C" w:rsidRPr="007313E6" w:rsidRDefault="00A8331C" w:rsidP="002D68F0">
      <w:pPr>
        <w:pStyle w:val="Fotos"/>
        <w:jc w:val="both"/>
        <w:rPr>
          <w:b w:val="0"/>
        </w:rPr>
      </w:pPr>
      <w:r>
        <w:rPr>
          <w:b w:val="0"/>
          <w:lang w:val="it-IT"/>
        </w:rPr>
        <w:t xml:space="preserve">Simone Eichiner, Direttrice Impianti di Confezionamento alla Kutter, è molto soddisfatta della performance: “Frantoio e impianto di vagliatura forniscono un materiale caratterizzato da una frazione fine ridotta, che soddisfa meglio i requisiti della curva granulometrica desiderata. Questo è importante per produrre una miscela asfaltica conforme alle norme. Inoltre, il basso consumo di carburante con produttività orarie contestualmente maggiori abbatte i costi di esercizio”. Per l’impresa con diverse </w:t>
      </w:r>
      <w:r>
        <w:rPr>
          <w:b w:val="0"/>
          <w:lang w:val="it-IT"/>
        </w:rPr>
        <w:lastRenderedPageBreak/>
        <w:t>sedi, è vantaggioso anche che gli impianti mobili Kleemann possano essere convertiti rapidamente e possano adeguarsi alle diverse condizioni di cantiere.</w:t>
      </w:r>
    </w:p>
    <w:p w14:paraId="1E78650F" w14:textId="77777777" w:rsidR="00A8331C" w:rsidRPr="007313E6" w:rsidRDefault="00A8331C" w:rsidP="00A8331C">
      <w:pPr>
        <w:pStyle w:val="Teaserhead"/>
      </w:pPr>
      <w:r>
        <w:rPr>
          <w:bCs/>
          <w:lang w:val="it-IT"/>
        </w:rPr>
        <w:t>Grande performance per il riciclaggio</w:t>
      </w:r>
    </w:p>
    <w:p w14:paraId="0BC9C473" w14:textId="33425B43" w:rsidR="00A8331C" w:rsidRPr="007313E6" w:rsidRDefault="00A8331C" w:rsidP="00A8331C">
      <w:pPr>
        <w:pStyle w:val="Fotos"/>
        <w:jc w:val="both"/>
        <w:rPr>
          <w:b w:val="0"/>
        </w:rPr>
      </w:pPr>
      <w:r>
        <w:rPr>
          <w:b w:val="0"/>
          <w:lang w:val="it-IT"/>
        </w:rPr>
        <w:t xml:space="preserve">Il treno di macchine Kleemann lavora fino a 240 tonnellate all’ora. Dopo la frantumazione nel frantoio, il materiale viene separato in due granulometrie finali definite: 0 – 11 mm per lo strato di collegamento e di usura e 0 – 22 mm per lo strato di collegamento o portante. Entrambe le frazioni vengono trasferite nello stabilimento di confezionamento e lì impiegate nel nuovo conglomerato. </w:t>
      </w:r>
    </w:p>
    <w:p w14:paraId="568214A4" w14:textId="1A349382" w:rsidR="00A8331C" w:rsidRPr="007313E6" w:rsidRDefault="00A8331C" w:rsidP="00A8331C">
      <w:pPr>
        <w:pStyle w:val="Fotos"/>
        <w:jc w:val="both"/>
        <w:rPr>
          <w:b w:val="0"/>
        </w:rPr>
      </w:pPr>
      <w:r>
        <w:rPr>
          <w:b w:val="0"/>
          <w:lang w:val="it-IT"/>
        </w:rPr>
        <w:t>Thomas Guggenmos</w:t>
      </w:r>
      <w:r w:rsidR="00621EAA">
        <w:rPr>
          <w:b w:val="0"/>
          <w:lang w:val="it-IT"/>
        </w:rPr>
        <w:t>er</w:t>
      </w:r>
      <w:r>
        <w:rPr>
          <w:b w:val="0"/>
          <w:lang w:val="it-IT"/>
        </w:rPr>
        <w:t>, operatore della macchina, è entusiasta della buona usabilità e dell’apertura rapida della bocca del frantoio grazie al dispositivo di rotazione e blocco del rotore Quick Access: “Il sistema consente un’apertura rapida e sicura del frantoio per la manutenzione e il controllo, che rappresenta un vero valore aggiunto nell’impiego quotidiano. Abbiamo un tempo di inattività inferiore e ci risparmiamo stress e disagi. Nel complesso, l’accesso ai punti soggetti a manutenzione centrali è davvero molto buono”.</w:t>
      </w:r>
    </w:p>
    <w:p w14:paraId="575EBF81" w14:textId="6E0BAD4D" w:rsidR="00A8331C" w:rsidRPr="002D68F0" w:rsidRDefault="00A8331C" w:rsidP="00A8331C">
      <w:pPr>
        <w:pStyle w:val="Fotos"/>
        <w:jc w:val="both"/>
        <w:rPr>
          <w:b w:val="0"/>
        </w:rPr>
      </w:pPr>
      <w:r>
        <w:rPr>
          <w:b w:val="0"/>
          <w:lang w:val="it-IT"/>
        </w:rPr>
        <w:t>Anche SPECTIVE CONNECT si fa apprezzare sul posto. L’applicazione digitale fornisce informazioni in tempo reale sul consumo, sulla produttività, sul grado di utilizzo e sulle possibili anomalie. Grazie alla precisa localizzazione degli errori, le cause di interruzione possono essere eliminate in modo decisamente più rapido ad esercizio in corso. Thomas Guggenmos</w:t>
      </w:r>
      <w:r w:rsidR="00621EAA">
        <w:rPr>
          <w:b w:val="0"/>
          <w:lang w:val="it-IT"/>
        </w:rPr>
        <w:t>er</w:t>
      </w:r>
      <w:r>
        <w:rPr>
          <w:b w:val="0"/>
          <w:lang w:val="it-IT"/>
        </w:rPr>
        <w:t xml:space="preserve"> può in questo modo visualizzare lo stato dell’impianto in qualsiasi momento. “Tutto risulta più efficiente, mentre le interruzioni non necessarie possono essere evitate”.</w:t>
      </w:r>
    </w:p>
    <w:p w14:paraId="62678677" w14:textId="77777777" w:rsidR="007313E6" w:rsidRDefault="007313E6" w:rsidP="007313E6">
      <w:pPr>
        <w:pStyle w:val="Teaserhead"/>
      </w:pPr>
      <w:r>
        <w:rPr>
          <w:bCs/>
          <w:lang w:val="it-IT"/>
        </w:rPr>
        <w:t>Il vantaggio della visione d’insieme</w:t>
      </w:r>
    </w:p>
    <w:p w14:paraId="389E6F5A" w14:textId="5D2B6A77" w:rsidR="007313E6" w:rsidRDefault="007313E6" w:rsidP="007313E6">
      <w:pPr>
        <w:pStyle w:val="Kommentartext"/>
        <w:rPr>
          <w:rFonts w:eastAsiaTheme="minorHAnsi" w:cstheme="minorBidi"/>
          <w:sz w:val="22"/>
          <w:szCs w:val="24"/>
        </w:rPr>
      </w:pPr>
      <w:r>
        <w:rPr>
          <w:rFonts w:eastAsiaTheme="minorHAnsi" w:cstheme="minorBidi"/>
          <w:sz w:val="22"/>
          <w:szCs w:val="24"/>
          <w:lang w:val="it-IT"/>
        </w:rPr>
        <w:t>Non solo la performance delle singole macchine, ma anche la visione d’insieme complessiva, dalla raccolta del materiale RC all’asfalto pronto, è decisiva. Il Wirtgen Group, con Wirtgen, Vögele, Hamm, Kleemann e Benninghoven, offre l’assortimento di macchine e impianti completo da un solo soggetto. In questo ambito, la Kutter ha imparato ad apprezzare in particolare la consulenza sull’utilizzo che va al di là delle singole marche. “Questo gioco di squadra ottimizza il processo complessivo. Nella consulenza si ha una visione ad ampio raggio. L’utilizzo, piuttosto che i singoli prodotti, è al centro dell’attenzione. Questo si è rivelato essere un vantaggio enorme”, spiega Simone Eichiner. “Il supporto tecnico, la consegna rapida dei pezzi di ricambio, i corsi di formazione per gli strumenti digitali: tutti questi fattori sono ottimamente coordinati”.</w:t>
      </w:r>
    </w:p>
    <w:p w14:paraId="6C53AF0F" w14:textId="77777777" w:rsidR="0005483E" w:rsidRPr="007313E6" w:rsidRDefault="0005483E" w:rsidP="007313E6">
      <w:pPr>
        <w:pStyle w:val="Kommentartext"/>
        <w:rPr>
          <w:rFonts w:eastAsiaTheme="minorHAnsi" w:cstheme="minorBidi"/>
          <w:sz w:val="22"/>
          <w:szCs w:val="24"/>
        </w:rPr>
      </w:pPr>
    </w:p>
    <w:p w14:paraId="14504F93" w14:textId="77777777" w:rsidR="0088586E" w:rsidRPr="007313E6" w:rsidRDefault="0088586E" w:rsidP="00A8331C">
      <w:pPr>
        <w:pStyle w:val="Fotos"/>
        <w:jc w:val="both"/>
        <w:rPr>
          <w:b w:val="0"/>
        </w:rPr>
      </w:pPr>
    </w:p>
    <w:p w14:paraId="780D68BB" w14:textId="77777777" w:rsidR="00A8331C" w:rsidRPr="007313E6" w:rsidRDefault="00A8331C" w:rsidP="00A8331C">
      <w:pPr>
        <w:pStyle w:val="Teaserhead"/>
      </w:pPr>
      <w:r>
        <w:rPr>
          <w:bCs/>
          <w:lang w:val="it-IT"/>
        </w:rPr>
        <w:t>Fatti e cifre</w:t>
      </w:r>
    </w:p>
    <w:p w14:paraId="3577BDBA" w14:textId="2E8295DE" w:rsidR="00A8331C" w:rsidRPr="007313E6" w:rsidRDefault="00A8331C" w:rsidP="00A8331C">
      <w:pPr>
        <w:pStyle w:val="Fotos"/>
        <w:numPr>
          <w:ilvl w:val="0"/>
          <w:numId w:val="28"/>
        </w:numPr>
        <w:rPr>
          <w:b w:val="0"/>
          <w:szCs w:val="22"/>
        </w:rPr>
      </w:pPr>
      <w:r>
        <w:rPr>
          <w:b w:val="0"/>
          <w:szCs w:val="22"/>
          <w:lang w:val="it-IT"/>
        </w:rPr>
        <w:t>Materiale di alimentazione: asfalto scarificato 0 – 120 mm (sporadiche zolle di fresato con una lunghezza fino a 500 mm)</w:t>
      </w:r>
    </w:p>
    <w:p w14:paraId="4DB662B5" w14:textId="5F27CE7F" w:rsidR="00A8331C" w:rsidRPr="007313E6" w:rsidRDefault="00A8331C" w:rsidP="00A8331C">
      <w:pPr>
        <w:pStyle w:val="Fotos"/>
        <w:numPr>
          <w:ilvl w:val="0"/>
          <w:numId w:val="28"/>
        </w:numPr>
        <w:rPr>
          <w:b w:val="0"/>
          <w:szCs w:val="22"/>
        </w:rPr>
      </w:pPr>
      <w:r>
        <w:rPr>
          <w:b w:val="0"/>
          <w:szCs w:val="22"/>
          <w:lang w:val="it-IT"/>
        </w:rPr>
        <w:t>Resa: pezzatura finale 0 – 11 mm, pezzatura finale 0 – 22 mm, per lo strato portante 0 – 32 mm</w:t>
      </w:r>
    </w:p>
    <w:p w14:paraId="68F5A74C" w14:textId="00DC3172" w:rsidR="00A8331C" w:rsidRPr="007313E6" w:rsidRDefault="00A8331C" w:rsidP="00A8331C">
      <w:pPr>
        <w:pStyle w:val="Fotos"/>
        <w:numPr>
          <w:ilvl w:val="0"/>
          <w:numId w:val="28"/>
        </w:numPr>
        <w:rPr>
          <w:b w:val="0"/>
          <w:szCs w:val="22"/>
        </w:rPr>
      </w:pPr>
      <w:r>
        <w:rPr>
          <w:b w:val="0"/>
          <w:szCs w:val="22"/>
          <w:lang w:val="it-IT"/>
        </w:rPr>
        <w:t>Performance del treno di macchine: 240 t/h</w:t>
      </w:r>
    </w:p>
    <w:p w14:paraId="6C4C0B39" w14:textId="77777777" w:rsidR="00A8331C" w:rsidRPr="007313E6" w:rsidRDefault="00A8331C" w:rsidP="007C2FEE">
      <w:pPr>
        <w:pStyle w:val="Standardabsatz"/>
      </w:pPr>
    </w:p>
    <w:p w14:paraId="64ABBB85" w14:textId="024AAF51" w:rsidR="007C2FEE" w:rsidRPr="007313E6" w:rsidRDefault="007C2FEE" w:rsidP="00BC487A">
      <w:pPr>
        <w:rPr>
          <w:b/>
          <w:bCs/>
          <w:sz w:val="22"/>
          <w:szCs w:val="22"/>
        </w:rPr>
      </w:pPr>
      <w:r>
        <w:rPr>
          <w:b/>
          <w:bCs/>
          <w:sz w:val="22"/>
          <w:szCs w:val="22"/>
          <w:lang w:val="it-IT"/>
        </w:rPr>
        <w:lastRenderedPageBreak/>
        <w:t>Foto:</w:t>
      </w:r>
    </w:p>
    <w:p w14:paraId="06345839" w14:textId="77777777" w:rsidR="00BC487A" w:rsidRPr="007313E6" w:rsidRDefault="00BC487A" w:rsidP="00BC487A">
      <w:pPr>
        <w:rPr>
          <w:rFonts w:eastAsiaTheme="minorHAnsi" w:cstheme="minorBidi"/>
          <w:b/>
          <w:sz w:val="22"/>
          <w:szCs w:val="24"/>
        </w:rPr>
      </w:pPr>
    </w:p>
    <w:p w14:paraId="102A5F4C" w14:textId="20F26B12" w:rsidR="00A8331C" w:rsidRPr="002D68F0" w:rsidRDefault="0005483E" w:rsidP="00A8331C">
      <w:pPr>
        <w:pStyle w:val="BUbold"/>
      </w:pPr>
      <w:r>
        <w:rPr>
          <w:b w:val="0"/>
          <w:noProof/>
          <w:lang w:val="it-IT"/>
        </w:rPr>
        <w:drawing>
          <wp:inline distT="0" distB="0" distL="0" distR="0" wp14:anchorId="2F6B9042" wp14:editId="2F89E995">
            <wp:extent cx="3240000" cy="1822075"/>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3240000" cy="1822075"/>
                    </a:xfrm>
                    <a:prstGeom prst="rect">
                      <a:avLst/>
                    </a:prstGeom>
                    <a:noFill/>
                    <a:ln>
                      <a:noFill/>
                    </a:ln>
                  </pic:spPr>
                </pic:pic>
              </a:graphicData>
            </a:graphic>
          </wp:inline>
        </w:drawing>
      </w:r>
      <w:r>
        <w:rPr>
          <w:b w:val="0"/>
          <w:szCs w:val="20"/>
          <w:lang w:val="it-IT"/>
        </w:rPr>
        <w:br/>
      </w:r>
      <w:r>
        <w:rPr>
          <w:bCs/>
          <w:lang w:val="it-IT"/>
        </w:rPr>
        <w:t>K_pic_MSS502EVO_MR100NEO_MBT20_memmingen_asphalt_0001</w:t>
      </w:r>
    </w:p>
    <w:p w14:paraId="5175B6C7" w14:textId="21CEB71B" w:rsidR="007F5DA5" w:rsidRDefault="007F5DA5" w:rsidP="00A8331C">
      <w:pPr>
        <w:pStyle w:val="BUnormal"/>
      </w:pPr>
      <w:r>
        <w:rPr>
          <w:lang w:val="it-IT"/>
        </w:rPr>
        <w:t>Il treno di macchine Kleemann è composto qui dall’impianto di vagliatura grossolana MOBISCREEN MSS 502 EVO, dal frantoio ad urto MOBIREX MR 100 NEO e da due nastri di accumulo MOBIBELT.</w:t>
      </w:r>
    </w:p>
    <w:p w14:paraId="4496AB9E" w14:textId="4DFE9F8B" w:rsidR="00A8331C" w:rsidRPr="007F5DA5" w:rsidRDefault="00A8331C" w:rsidP="00A8331C">
      <w:pPr>
        <w:pStyle w:val="BUnormal"/>
      </w:pPr>
    </w:p>
    <w:p w14:paraId="6162BD7A" w14:textId="2A3AC5F8" w:rsidR="00A8331C" w:rsidRPr="002D68F0" w:rsidRDefault="0005483E" w:rsidP="00A8331C">
      <w:pPr>
        <w:pStyle w:val="BUbold"/>
      </w:pPr>
      <w:r>
        <w:rPr>
          <w:b w:val="0"/>
          <w:noProof/>
          <w:lang w:val="it-IT"/>
        </w:rPr>
        <w:drawing>
          <wp:inline distT="0" distB="0" distL="0" distR="0" wp14:anchorId="7DA97D16" wp14:editId="6972850E">
            <wp:extent cx="3240000" cy="2163289"/>
            <wp:effectExtent l="0" t="0" r="0" b="889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3240000" cy="2163289"/>
                    </a:xfrm>
                    <a:prstGeom prst="rect">
                      <a:avLst/>
                    </a:prstGeom>
                    <a:noFill/>
                    <a:ln>
                      <a:noFill/>
                    </a:ln>
                  </pic:spPr>
                </pic:pic>
              </a:graphicData>
            </a:graphic>
          </wp:inline>
        </w:drawing>
      </w:r>
      <w:r>
        <w:rPr>
          <w:b w:val="0"/>
          <w:szCs w:val="20"/>
          <w:lang w:val="it-IT"/>
        </w:rPr>
        <w:br/>
      </w:r>
      <w:r>
        <w:rPr>
          <w:bCs/>
          <w:lang w:val="it-IT"/>
        </w:rPr>
        <w:t>K_pic_MSS502EVO_MR100NEO_MBT20_memmingen_asphalt_0006</w:t>
      </w:r>
    </w:p>
    <w:p w14:paraId="240BD101" w14:textId="51046353" w:rsidR="00A8331C" w:rsidRPr="00DF5C53" w:rsidRDefault="007F5DA5" w:rsidP="00A8331C">
      <w:pPr>
        <w:pStyle w:val="BUnormal"/>
        <w:rPr>
          <w:bCs/>
        </w:rPr>
      </w:pPr>
      <w:r>
        <w:rPr>
          <w:lang w:val="it-IT"/>
        </w:rPr>
        <w:t>Thomas Guggenmos</w:t>
      </w:r>
      <w:r w:rsidR="00621EAA">
        <w:rPr>
          <w:lang w:val="it-IT"/>
        </w:rPr>
        <w:t>er</w:t>
      </w:r>
      <w:r>
        <w:rPr>
          <w:lang w:val="it-IT"/>
        </w:rPr>
        <w:t xml:space="preserve">, operatore della macchina Kleemann, è entusiasta della buona usabilità e dell’apertura rapida della bocca del frantoio grazie al dispositivo di rotazione e blocco del rotore Quick Access. </w:t>
      </w:r>
      <w:r>
        <w:rPr>
          <w:lang w:val="it-IT"/>
        </w:rPr>
        <w:br/>
      </w:r>
    </w:p>
    <w:p w14:paraId="5BFBF390" w14:textId="10BFD428" w:rsidR="007C2FEE" w:rsidRPr="0005483E" w:rsidRDefault="0005483E" w:rsidP="00BA7BC5">
      <w:pPr>
        <w:pStyle w:val="BUbold"/>
        <w:rPr>
          <w:b w:val="0"/>
          <w:bCs/>
        </w:rPr>
      </w:pPr>
      <w:r>
        <w:rPr>
          <w:b w:val="0"/>
          <w:noProof/>
          <w:szCs w:val="20"/>
          <w:lang w:val="it-IT"/>
        </w:rPr>
        <w:drawing>
          <wp:inline distT="0" distB="0" distL="0" distR="0" wp14:anchorId="09D4FA16" wp14:editId="2FFAB37D">
            <wp:extent cx="3240000" cy="1822500"/>
            <wp:effectExtent l="0" t="0" r="0" b="635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3240000" cy="1822500"/>
                    </a:xfrm>
                    <a:prstGeom prst="rect">
                      <a:avLst/>
                    </a:prstGeom>
                    <a:noFill/>
                    <a:ln>
                      <a:noFill/>
                    </a:ln>
                  </pic:spPr>
                </pic:pic>
              </a:graphicData>
            </a:graphic>
          </wp:inline>
        </w:drawing>
      </w:r>
      <w:r>
        <w:rPr>
          <w:b w:val="0"/>
          <w:lang w:val="it-IT"/>
        </w:rPr>
        <w:br/>
      </w:r>
      <w:r>
        <w:rPr>
          <w:bCs/>
          <w:lang w:val="it-IT"/>
        </w:rPr>
        <w:t>K_pic_MSS502EVO_MR100NEO_MBT20_memmingen_asphalt_0004</w:t>
      </w:r>
      <w:r>
        <w:rPr>
          <w:b w:val="0"/>
          <w:lang w:val="it-IT"/>
        </w:rPr>
        <w:br/>
        <w:t xml:space="preserve">Il treno di macchine Kleemann lavora fino a 240 tonnellate all’ora. </w:t>
      </w:r>
    </w:p>
    <w:p w14:paraId="10AF8B22" w14:textId="77777777" w:rsidR="000D357E" w:rsidRPr="0005483E" w:rsidRDefault="000D357E" w:rsidP="000D357E">
      <w:pPr>
        <w:pStyle w:val="BUnormal"/>
      </w:pPr>
    </w:p>
    <w:p w14:paraId="3EABDE55" w14:textId="5A25B384" w:rsidR="00A8331C" w:rsidRPr="0005483E" w:rsidRDefault="00A8331C" w:rsidP="00A8331C">
      <w:pPr>
        <w:pStyle w:val="Note"/>
      </w:pPr>
    </w:p>
    <w:p w14:paraId="67E83AFA" w14:textId="6DF33779" w:rsidR="00980313" w:rsidRPr="0071618D" w:rsidRDefault="00714D6B" w:rsidP="00A96B2E">
      <w:pPr>
        <w:pStyle w:val="Note"/>
      </w:pPr>
      <w:r>
        <w:rPr>
          <w:iCs/>
          <w:lang w:val="it-IT"/>
        </w:rPr>
        <w:t>Avvertenza: queste foto sono a puro scopo esemplificativo. Per la stampa nelle varie pubblicazioni si prega di utilizzare le foto da 300 dpi di risoluzione disponibili per il download.</w:t>
      </w:r>
    </w:p>
    <w:p w14:paraId="717825D0" w14:textId="4B1B0DAB" w:rsidR="00B409DF" w:rsidRPr="0071618D" w:rsidRDefault="00B409DF" w:rsidP="00B409DF">
      <w:pPr>
        <w:pStyle w:val="Absatzberschrift"/>
        <w:rPr>
          <w:iCs/>
        </w:rPr>
      </w:pPr>
      <w:r>
        <w:rPr>
          <w:bCs/>
          <w:lang w:val="it-IT"/>
        </w:rPr>
        <w:t>È possibile reperire ulteriori informazioni presso:</w:t>
      </w:r>
    </w:p>
    <w:p w14:paraId="294F8CA8" w14:textId="77777777" w:rsidR="00B409DF" w:rsidRPr="0071618D" w:rsidRDefault="00B409DF" w:rsidP="00B409DF">
      <w:pPr>
        <w:pStyle w:val="Absatzberschrift"/>
      </w:pPr>
    </w:p>
    <w:p w14:paraId="6BD3D8AD" w14:textId="77777777" w:rsidR="00B409DF" w:rsidRPr="0071618D" w:rsidRDefault="00B409DF" w:rsidP="00B409DF">
      <w:pPr>
        <w:pStyle w:val="Absatzberschrift"/>
        <w:rPr>
          <w:b w:val="0"/>
          <w:bCs/>
          <w:szCs w:val="22"/>
        </w:rPr>
      </w:pPr>
      <w:r>
        <w:rPr>
          <w:b w:val="0"/>
          <w:lang w:val="it-IT"/>
        </w:rPr>
        <w:t>WIRTGEN GROUP</w:t>
      </w:r>
    </w:p>
    <w:p w14:paraId="392C6846" w14:textId="77777777" w:rsidR="00B409DF" w:rsidRPr="0071618D" w:rsidRDefault="00B409DF" w:rsidP="00B409DF">
      <w:pPr>
        <w:pStyle w:val="Fuzeile1"/>
      </w:pPr>
      <w:r>
        <w:rPr>
          <w:bCs w:val="0"/>
          <w:iCs w:val="0"/>
          <w:lang w:val="it-IT"/>
        </w:rPr>
        <w:t>Public Relations</w:t>
      </w:r>
    </w:p>
    <w:p w14:paraId="77A90FFB" w14:textId="77777777" w:rsidR="00B409DF" w:rsidRPr="0071618D" w:rsidRDefault="00B409DF" w:rsidP="00B409DF">
      <w:pPr>
        <w:pStyle w:val="Fuzeile1"/>
      </w:pPr>
      <w:r>
        <w:rPr>
          <w:bCs w:val="0"/>
          <w:iCs w:val="0"/>
          <w:lang w:val="it-IT"/>
        </w:rPr>
        <w:t>Reinhard-Wirtgen-Straße 2</w:t>
      </w:r>
    </w:p>
    <w:p w14:paraId="2BD7061F" w14:textId="77777777" w:rsidR="00B409DF" w:rsidRPr="0071618D" w:rsidRDefault="00B409DF" w:rsidP="00B409DF">
      <w:pPr>
        <w:pStyle w:val="Fuzeile1"/>
      </w:pPr>
      <w:r>
        <w:rPr>
          <w:bCs w:val="0"/>
          <w:iCs w:val="0"/>
          <w:lang w:val="it-IT"/>
        </w:rPr>
        <w:t>53578 Windhagen</w:t>
      </w:r>
    </w:p>
    <w:p w14:paraId="7312A980" w14:textId="77777777" w:rsidR="00B409DF" w:rsidRPr="0071618D" w:rsidRDefault="00B409DF" w:rsidP="00B409DF">
      <w:pPr>
        <w:pStyle w:val="Fuzeile1"/>
      </w:pPr>
      <w:r>
        <w:rPr>
          <w:bCs w:val="0"/>
          <w:iCs w:val="0"/>
          <w:lang w:val="it-IT"/>
        </w:rPr>
        <w:t>Germania</w:t>
      </w:r>
    </w:p>
    <w:p w14:paraId="2DFD9654" w14:textId="77777777" w:rsidR="00B409DF" w:rsidRPr="0071618D" w:rsidRDefault="00B409DF" w:rsidP="00B409DF">
      <w:pPr>
        <w:pStyle w:val="Fuzeile1"/>
      </w:pPr>
    </w:p>
    <w:p w14:paraId="747CCDAF" w14:textId="78D0EB80" w:rsidR="00B409DF" w:rsidRPr="0071618D" w:rsidRDefault="00B409DF" w:rsidP="00B409DF">
      <w:pPr>
        <w:pStyle w:val="Fuzeile1"/>
        <w:rPr>
          <w:rFonts w:ascii="Times New Roman" w:hAnsi="Times New Roman" w:cs="Times New Roman"/>
        </w:rPr>
      </w:pPr>
      <w:r>
        <w:rPr>
          <w:bCs w:val="0"/>
          <w:iCs w:val="0"/>
          <w:lang w:val="it-IT"/>
        </w:rPr>
        <w:t>Telefono:</w:t>
      </w:r>
      <w:r>
        <w:rPr>
          <w:bCs w:val="0"/>
          <w:iCs w:val="0"/>
          <w:lang w:val="it-IT"/>
        </w:rPr>
        <w:tab/>
        <w:t>+49 (0) 2645 131 – 1966</w:t>
      </w:r>
    </w:p>
    <w:p w14:paraId="72EBA31D" w14:textId="369121F8" w:rsidR="00B409DF" w:rsidRPr="0071618D" w:rsidRDefault="00B409DF" w:rsidP="00B409DF">
      <w:pPr>
        <w:pStyle w:val="Fuzeile1"/>
      </w:pPr>
      <w:r>
        <w:rPr>
          <w:bCs w:val="0"/>
          <w:iCs w:val="0"/>
          <w:lang w:val="it-IT"/>
        </w:rPr>
        <w:t>Telefax:</w:t>
      </w:r>
      <w:r>
        <w:rPr>
          <w:bCs w:val="0"/>
          <w:iCs w:val="0"/>
          <w:lang w:val="it-IT"/>
        </w:rPr>
        <w:tab/>
        <w:t>+49 (0) 2645 131 – 499</w:t>
      </w:r>
    </w:p>
    <w:p w14:paraId="51E322C9" w14:textId="62793690" w:rsidR="00B409DF" w:rsidRPr="0071618D" w:rsidRDefault="00B409DF" w:rsidP="00B409DF">
      <w:pPr>
        <w:pStyle w:val="Fuzeile1"/>
        <w:rPr>
          <w:vanish/>
        </w:rPr>
      </w:pPr>
      <w:r>
        <w:rPr>
          <w:bCs w:val="0"/>
          <w:iCs w:val="0"/>
          <w:lang w:val="it-IT"/>
        </w:rPr>
        <w:t>E-mail:</w:t>
      </w:r>
      <w:r>
        <w:rPr>
          <w:bCs w:val="0"/>
          <w:iCs w:val="0"/>
          <w:lang w:val="it-IT"/>
        </w:rPr>
        <w:tab/>
      </w:r>
      <w:r>
        <w:rPr>
          <w:bCs w:val="0"/>
          <w:iCs w:val="0"/>
          <w:vanish/>
        </w:rPr>
        <w:t>PR@wirtgen-group.com</w:t>
      </w:r>
    </w:p>
    <w:p w14:paraId="2EB21AA5" w14:textId="77777777" w:rsidR="007F5DA5" w:rsidRDefault="007F5DA5" w:rsidP="00B409DF">
      <w:pPr>
        <w:pStyle w:val="Fuzeile1"/>
      </w:pPr>
    </w:p>
    <w:p w14:paraId="11BA6AC4" w14:textId="47555DC4" w:rsidR="00B409DF" w:rsidRPr="007F5DA5" w:rsidRDefault="00621EAA" w:rsidP="00B409DF">
      <w:pPr>
        <w:pStyle w:val="Fuzeile1"/>
      </w:pPr>
      <w:hyperlink r:id="rId11" w:history="1">
        <w:r w:rsidR="00C25380">
          <w:rPr>
            <w:rStyle w:val="Hyperlink"/>
            <w:bCs w:val="0"/>
            <w:iCs w:val="0"/>
            <w:lang w:val="it-IT"/>
          </w:rPr>
          <w:t>www.wirtgen-group.com</w:t>
        </w:r>
      </w:hyperlink>
    </w:p>
    <w:p w14:paraId="02ED9A5B" w14:textId="77777777" w:rsidR="00A76CDD" w:rsidRPr="007F5DA5" w:rsidRDefault="00A76CDD" w:rsidP="00B409DF">
      <w:pPr>
        <w:pStyle w:val="Fuzeile1"/>
      </w:pPr>
    </w:p>
    <w:sectPr w:rsidR="00A76CDD" w:rsidRPr="007F5DA5" w:rsidSect="00CA4A09">
      <w:headerReference w:type="even" r:id="rId12"/>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FED95" w14:textId="77777777" w:rsidR="008A3E9C" w:rsidRDefault="008A3E9C" w:rsidP="00E55534">
      <w:r>
        <w:separator/>
      </w:r>
    </w:p>
  </w:endnote>
  <w:endnote w:type="continuationSeparator" w:id="0">
    <w:p w14:paraId="100A3F4B" w14:textId="77777777" w:rsidR="008A3E9C" w:rsidRDefault="008A3E9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it-IT"/>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it-IT"/>
            </w:rPr>
            <w:fldChar w:fldCharType="begin"/>
          </w:r>
          <w:r>
            <w:rPr>
              <w:szCs w:val="20"/>
              <w:lang w:val="it-IT"/>
            </w:rPr>
            <w:instrText xml:space="preserve"> PAGE \# "00"</w:instrText>
          </w:r>
          <w:r>
            <w:rPr>
              <w:szCs w:val="20"/>
              <w:lang w:val="it-IT"/>
            </w:rPr>
            <w:fldChar w:fldCharType="separate"/>
          </w:r>
          <w:r>
            <w:rPr>
              <w:noProof/>
              <w:szCs w:val="20"/>
              <w:lang w:val="it-IT"/>
            </w:rPr>
            <w:t>02</w:t>
          </w:r>
          <w:r>
            <w:rPr>
              <w:szCs w:val="20"/>
              <w:lang w:val="it-IT"/>
            </w:rPr>
            <w:fldChar w:fldCharType="end"/>
          </w:r>
        </w:p>
      </w:tc>
    </w:tr>
  </w:tbl>
  <w:p w14:paraId="7CF7D2C8" w14:textId="77777777" w:rsidR="00533132" w:rsidRDefault="00BD5391">
    <w:pPr>
      <w:pStyle w:val="Fuzeile"/>
    </w:pPr>
    <w:r>
      <w:rPr>
        <w:noProof/>
        <w:lang w:val="it-IT"/>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it-IT"/>
            </w:rPr>
            <w:t>WIRTGEN</w:t>
          </w:r>
          <w:r>
            <w:rPr>
              <w:rStyle w:val="Hervorhebung"/>
              <w:bCs/>
              <w:iCs w:val="0"/>
              <w:szCs w:val="20"/>
              <w:lang w:val="it-IT"/>
            </w:rPr>
            <w:t xml:space="preserve"> GmbH</w:t>
          </w:r>
          <w:r>
            <w:rPr>
              <w:szCs w:val="20"/>
              <w:lang w:val="it-IT"/>
            </w:rPr>
            <w:t xml:space="preserve"> · Reinhard-Wirtgen-Str. 2 · D-53578 Windhagen · T: +49 26 45 / 131 0</w:t>
          </w:r>
        </w:p>
      </w:tc>
    </w:tr>
  </w:tbl>
  <w:p w14:paraId="732BEB33" w14:textId="77777777" w:rsidR="00533132" w:rsidRDefault="00BD5391">
    <w:pPr>
      <w:pStyle w:val="Fuzeile"/>
    </w:pPr>
    <w:r>
      <w:rPr>
        <w:noProof/>
        <w:lang w:val="it-IT"/>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D838E" w14:textId="77777777" w:rsidR="008A3E9C" w:rsidRDefault="008A3E9C" w:rsidP="00E55534">
      <w:r>
        <w:separator/>
      </w:r>
    </w:p>
  </w:footnote>
  <w:footnote w:type="continuationSeparator" w:id="0">
    <w:p w14:paraId="6F36099D" w14:textId="77777777" w:rsidR="008A3E9C" w:rsidRDefault="008A3E9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F92C8EF" w:rsidR="000278CB" w:rsidRDefault="00615CDA">
    <w:pPr>
      <w:pStyle w:val="Kopfzeile"/>
    </w:pPr>
    <w:r>
      <w:rPr>
        <w:noProof/>
        <w:lang w:val="it-IT"/>
      </w:rPr>
      <mc:AlternateContent>
        <mc:Choice Requires="wps">
          <w:drawing>
            <wp:anchor distT="0" distB="0" distL="0" distR="0" simplePos="0" relativeHeight="251661312" behindDoc="0" locked="0" layoutInCell="1" allowOverlap="1" wp14:anchorId="7D3348C5" wp14:editId="4C4D0512">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AF5CEF" w14:textId="478D0DE6"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7D3348C5" id="_x0000_t202" coordsize="21600,21600" o:spt="202" path="m,l,21600r21600,l21600,xe">
              <v:stroke joinstyle="miter"/>
              <v:path gradientshapeok="t" o:connecttype="rect"/>
            </v:shapetype>
            <v:shape id="Textfeld 10" o:spid="_x0000_s1026"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9AF5CEF" w14:textId="478D0DE6"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it-it"/>
                        <w:b w:val="0"/>
                        <w:bCs w:val="0"/>
                        <w:i w:val="0"/>
                        <w:iCs w:val="0"/>
                        <w:u w:val="none"/>
                        <w:vertAlign w:val="baseline"/>
                        <w:rtl w:val="0"/>
                      </w:rPr>
                      <w:t xml:space="preserve">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20E9D3E" w:rsidR="00533132" w:rsidRPr="00533132" w:rsidRDefault="00615CDA" w:rsidP="00533132">
    <w:pPr>
      <w:pStyle w:val="Kopfzeile"/>
    </w:pPr>
    <w:r>
      <w:rPr>
        <w:noProof/>
        <w:lang w:val="it-IT"/>
      </w:rPr>
      <mc:AlternateContent>
        <mc:Choice Requires="wps">
          <w:drawing>
            <wp:anchor distT="0" distB="0" distL="0" distR="0" simplePos="0" relativeHeight="251662336" behindDoc="0" locked="0" layoutInCell="1" allowOverlap="1" wp14:anchorId="45B32858" wp14:editId="5655E953">
              <wp:simplePos x="755374" y="453224"/>
              <wp:positionH relativeFrom="rightMargin">
                <wp:align>right</wp:align>
              </wp:positionH>
              <wp:positionV relativeFrom="paragraph">
                <wp:posOffset>635</wp:posOffset>
              </wp:positionV>
              <wp:extent cx="443865" cy="443865"/>
              <wp:effectExtent l="0" t="0" r="0" b="16510"/>
              <wp:wrapSquare wrapText="bothSides"/>
              <wp:docPr id="14" name="Textfeld 1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F61D39" w14:textId="1F032456" w:rsidR="00615CDA" w:rsidRPr="00615CDA" w:rsidRDefault="00A8331C">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45B32858" id="_x0000_t202" coordsize="21600,21600" o:spt="202" path="m,l,21600r21600,l21600,xe">
              <v:stroke joinstyle="miter"/>
              <v:path gradientshapeok="t" o:connecttype="rect"/>
            </v:shapetype>
            <v:shape id="Textfeld 14" o:spid="_x0000_s1027"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24F61D39" w14:textId="1F032456" w:rsidR="00615CDA" w:rsidRPr="00615CDA" w:rsidRDefault="00A8331C">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it-it"/>
                        <w:b w:val="0"/>
                        <w:bCs w:val="0"/>
                        <w:i w:val="0"/>
                        <w:iCs w:val="0"/>
                        <w:u w:val="none"/>
                        <w:vertAlign w:val="baseline"/>
                        <w:rtl w:val="0"/>
                      </w:rPr>
                      <w:t xml:space="preserve">Public</w:t>
                    </w:r>
                  </w:p>
                </w:txbxContent>
              </v:textbox>
              <w10:wrap type="square" anchorx="margin"/>
            </v:shape>
          </w:pict>
        </mc:Fallback>
      </mc:AlternateContent>
    </w:r>
    <w:r>
      <w:rPr>
        <w:noProof/>
        <w:lang w:val="it-IT"/>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AD6E865" w:rsidR="00533132" w:rsidRDefault="00615CDA">
    <w:pPr>
      <w:pStyle w:val="Kopfzeile"/>
    </w:pPr>
    <w:r>
      <w:rPr>
        <w:noProof/>
        <w:lang w:val="it-IT"/>
      </w:rPr>
      <mc:AlternateContent>
        <mc:Choice Requires="wps">
          <w:drawing>
            <wp:anchor distT="0" distB="0" distL="0" distR="0" simplePos="0" relativeHeight="251660288" behindDoc="0" locked="0" layoutInCell="1" allowOverlap="1" wp14:anchorId="419E36E5" wp14:editId="4DBFECB6">
              <wp:simplePos x="635" y="635"/>
              <wp:positionH relativeFrom="rightMargin">
                <wp:align>right</wp:align>
              </wp:positionH>
              <wp:positionV relativeFrom="paragraph">
                <wp:posOffset>635</wp:posOffset>
              </wp:positionV>
              <wp:extent cx="443865" cy="443865"/>
              <wp:effectExtent l="0" t="0" r="0" b="16510"/>
              <wp:wrapSquare wrapText="bothSides"/>
              <wp:docPr id="4" name="Textfeld 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197B8F" w14:textId="47A5CD6D"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419E36E5" id="_x0000_t202" coordsize="21600,21600" o:spt="202" path="m,l,21600r21600,l21600,xe">
              <v:stroke joinstyle="miter"/>
              <v:path gradientshapeok="t" o:connecttype="rect"/>
            </v:shapetype>
            <v:shape id="Textfeld 4" o:spid="_x0000_s1028" type="#_x0000_t202" alt="Company Use" style="position:absolute;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17197B8F" w14:textId="47A5CD6D"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it-it"/>
                        <w:b w:val="0"/>
                        <w:bCs w:val="0"/>
                        <w:i w:val="0"/>
                        <w:iCs w:val="0"/>
                        <w:u w:val="none"/>
                        <w:vertAlign w:val="baseline"/>
                        <w:rtl w:val="0"/>
                      </w:rPr>
                      <w:t xml:space="preserve">Company Use</w:t>
                    </w:r>
                  </w:p>
                </w:txbxContent>
              </v:textbox>
              <w10:wrap type="square" anchorx="margin"/>
            </v:shape>
          </w:pict>
        </mc:Fallback>
      </mc:AlternateContent>
    </w:r>
    <w:r>
      <w:rPr>
        <w:noProof/>
        <w:lang w:val="it-IT"/>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it-IT"/>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it-IT"/>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3B3475E9"/>
    <w:multiLevelType w:val="hybridMultilevel"/>
    <w:tmpl w:val="5B984808"/>
    <w:lvl w:ilvl="0" w:tplc="DEF4F700">
      <w:numFmt w:val="bullet"/>
      <w:lvlText w:val="-"/>
      <w:lvlJc w:val="left"/>
      <w:pPr>
        <w:ind w:left="360" w:hanging="360"/>
      </w:pPr>
      <w:rPr>
        <w:rFonts w:ascii="Verdana" w:eastAsiaTheme="minorHAnsi" w:hAnsi="Verdana" w:cstheme="minorBid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715A4B58"/>
    <w:multiLevelType w:val="hybridMultilevel"/>
    <w:tmpl w:val="DEC27BE2"/>
    <w:lvl w:ilvl="0" w:tplc="C3F4FDD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16864D0"/>
    <w:multiLevelType w:val="hybridMultilevel"/>
    <w:tmpl w:val="8FFC42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3"/>
  </w:num>
  <w:num w:numId="2">
    <w:abstractNumId w:val="13"/>
  </w:num>
  <w:num w:numId="3">
    <w:abstractNumId w:val="13"/>
  </w:num>
  <w:num w:numId="4">
    <w:abstractNumId w:val="13"/>
  </w:num>
  <w:num w:numId="5">
    <w:abstractNumId w:val="13"/>
  </w:num>
  <w:num w:numId="6">
    <w:abstractNumId w:val="2"/>
  </w:num>
  <w:num w:numId="7">
    <w:abstractNumId w:val="2"/>
  </w:num>
  <w:num w:numId="8">
    <w:abstractNumId w:val="2"/>
  </w:num>
  <w:num w:numId="9">
    <w:abstractNumId w:val="2"/>
  </w:num>
  <w:num w:numId="10">
    <w:abstractNumId w:val="2"/>
  </w:num>
  <w:num w:numId="11">
    <w:abstractNumId w:val="6"/>
  </w:num>
  <w:num w:numId="12">
    <w:abstractNumId w:val="6"/>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9"/>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12"/>
  </w:num>
  <w:num w:numId="28">
    <w:abstractNumId w:val="11"/>
  </w:num>
  <w:num w:numId="29">
    <w:abstractNumId w:val="10"/>
  </w:num>
  <w:num w:numId="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483E"/>
    <w:rsid w:val="00055529"/>
    <w:rsid w:val="00056224"/>
    <w:rsid w:val="00062C3A"/>
    <w:rsid w:val="00066D09"/>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92698"/>
    <w:rsid w:val="00193CE0"/>
    <w:rsid w:val="00194FB1"/>
    <w:rsid w:val="001B16BB"/>
    <w:rsid w:val="001B34EE"/>
    <w:rsid w:val="001C1A3E"/>
    <w:rsid w:val="001F359E"/>
    <w:rsid w:val="00200355"/>
    <w:rsid w:val="0021351D"/>
    <w:rsid w:val="00253A2E"/>
    <w:rsid w:val="002603EC"/>
    <w:rsid w:val="00282AFC"/>
    <w:rsid w:val="00286C15"/>
    <w:rsid w:val="0029634D"/>
    <w:rsid w:val="002A42FB"/>
    <w:rsid w:val="002C6F4F"/>
    <w:rsid w:val="002C7542"/>
    <w:rsid w:val="002D065C"/>
    <w:rsid w:val="002D0780"/>
    <w:rsid w:val="002D2EE5"/>
    <w:rsid w:val="002D63E6"/>
    <w:rsid w:val="002D68F0"/>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561D"/>
    <w:rsid w:val="003665BE"/>
    <w:rsid w:val="00384A08"/>
    <w:rsid w:val="003850A9"/>
    <w:rsid w:val="003855F5"/>
    <w:rsid w:val="003967E5"/>
    <w:rsid w:val="003A753A"/>
    <w:rsid w:val="003B2034"/>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2145F"/>
    <w:rsid w:val="00430BB0"/>
    <w:rsid w:val="00467F3C"/>
    <w:rsid w:val="0047498D"/>
    <w:rsid w:val="00476100"/>
    <w:rsid w:val="00487BFC"/>
    <w:rsid w:val="004A1833"/>
    <w:rsid w:val="004B3E60"/>
    <w:rsid w:val="004C1967"/>
    <w:rsid w:val="004D23D0"/>
    <w:rsid w:val="004D2BE0"/>
    <w:rsid w:val="004E0A77"/>
    <w:rsid w:val="004E61FD"/>
    <w:rsid w:val="004E6EF5"/>
    <w:rsid w:val="004E74CA"/>
    <w:rsid w:val="004F1810"/>
    <w:rsid w:val="00506409"/>
    <w:rsid w:val="005129F2"/>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764C"/>
    <w:rsid w:val="005F16C3"/>
    <w:rsid w:val="006063D4"/>
    <w:rsid w:val="00612D6C"/>
    <w:rsid w:val="00615CDA"/>
    <w:rsid w:val="00621EAA"/>
    <w:rsid w:val="00623B37"/>
    <w:rsid w:val="006330A2"/>
    <w:rsid w:val="00642EB6"/>
    <w:rsid w:val="006433E2"/>
    <w:rsid w:val="00651E5D"/>
    <w:rsid w:val="00677F11"/>
    <w:rsid w:val="00682B1A"/>
    <w:rsid w:val="00690D7C"/>
    <w:rsid w:val="00690DFE"/>
    <w:rsid w:val="00691678"/>
    <w:rsid w:val="006B3EEC"/>
    <w:rsid w:val="006C0C87"/>
    <w:rsid w:val="006D7EAC"/>
    <w:rsid w:val="006E0104"/>
    <w:rsid w:val="006F7602"/>
    <w:rsid w:val="007100BC"/>
    <w:rsid w:val="00714D6B"/>
    <w:rsid w:val="0071618D"/>
    <w:rsid w:val="00722A17"/>
    <w:rsid w:val="00723F4F"/>
    <w:rsid w:val="007313E6"/>
    <w:rsid w:val="00755AE0"/>
    <w:rsid w:val="0075761B"/>
    <w:rsid w:val="00757B83"/>
    <w:rsid w:val="00772557"/>
    <w:rsid w:val="00774358"/>
    <w:rsid w:val="00791A69"/>
    <w:rsid w:val="0079462A"/>
    <w:rsid w:val="00794830"/>
    <w:rsid w:val="00795DE2"/>
    <w:rsid w:val="00797CAA"/>
    <w:rsid w:val="007A2B6F"/>
    <w:rsid w:val="007A46B3"/>
    <w:rsid w:val="007A6BD2"/>
    <w:rsid w:val="007B00DF"/>
    <w:rsid w:val="007B7CE0"/>
    <w:rsid w:val="007C2658"/>
    <w:rsid w:val="007C2FEE"/>
    <w:rsid w:val="007C4A1C"/>
    <w:rsid w:val="007D0EFA"/>
    <w:rsid w:val="007D59A2"/>
    <w:rsid w:val="007E20D0"/>
    <w:rsid w:val="007E3DAB"/>
    <w:rsid w:val="007F5DA5"/>
    <w:rsid w:val="008053B3"/>
    <w:rsid w:val="00820315"/>
    <w:rsid w:val="00823073"/>
    <w:rsid w:val="0082316D"/>
    <w:rsid w:val="00827F47"/>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8586E"/>
    <w:rsid w:val="00892F6F"/>
    <w:rsid w:val="00896F7E"/>
    <w:rsid w:val="008A3E9C"/>
    <w:rsid w:val="008B1EB7"/>
    <w:rsid w:val="008B4B65"/>
    <w:rsid w:val="008C2A29"/>
    <w:rsid w:val="008C2DB2"/>
    <w:rsid w:val="008D26D8"/>
    <w:rsid w:val="008D770E"/>
    <w:rsid w:val="008F7BB7"/>
    <w:rsid w:val="0090034F"/>
    <w:rsid w:val="0090337E"/>
    <w:rsid w:val="009049D8"/>
    <w:rsid w:val="00910609"/>
    <w:rsid w:val="009125E2"/>
    <w:rsid w:val="00914C7E"/>
    <w:rsid w:val="00915841"/>
    <w:rsid w:val="00922098"/>
    <w:rsid w:val="009328FA"/>
    <w:rsid w:val="00936A78"/>
    <w:rsid w:val="009375E1"/>
    <w:rsid w:val="00952853"/>
    <w:rsid w:val="00963F47"/>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E69D8"/>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76CDD"/>
    <w:rsid w:val="00A82395"/>
    <w:rsid w:val="00A8331C"/>
    <w:rsid w:val="00A9389A"/>
    <w:rsid w:val="00A96B2E"/>
    <w:rsid w:val="00A977CE"/>
    <w:rsid w:val="00AB52F9"/>
    <w:rsid w:val="00AC1B04"/>
    <w:rsid w:val="00AC3138"/>
    <w:rsid w:val="00AC6F42"/>
    <w:rsid w:val="00AD131F"/>
    <w:rsid w:val="00AD32D5"/>
    <w:rsid w:val="00AD70E4"/>
    <w:rsid w:val="00AE0DEA"/>
    <w:rsid w:val="00AF3B3A"/>
    <w:rsid w:val="00AF4E8E"/>
    <w:rsid w:val="00AF6569"/>
    <w:rsid w:val="00B06265"/>
    <w:rsid w:val="00B115B5"/>
    <w:rsid w:val="00B409DF"/>
    <w:rsid w:val="00B5232A"/>
    <w:rsid w:val="00B60ED1"/>
    <w:rsid w:val="00B62CF5"/>
    <w:rsid w:val="00B6300D"/>
    <w:rsid w:val="00B63C90"/>
    <w:rsid w:val="00B65A46"/>
    <w:rsid w:val="00B70425"/>
    <w:rsid w:val="00B85705"/>
    <w:rsid w:val="00B874DC"/>
    <w:rsid w:val="00B90F78"/>
    <w:rsid w:val="00B91123"/>
    <w:rsid w:val="00B937EB"/>
    <w:rsid w:val="00B955DE"/>
    <w:rsid w:val="00B97CD1"/>
    <w:rsid w:val="00BA7BC5"/>
    <w:rsid w:val="00BC0E38"/>
    <w:rsid w:val="00BC1961"/>
    <w:rsid w:val="00BC487A"/>
    <w:rsid w:val="00BD1058"/>
    <w:rsid w:val="00BD50F6"/>
    <w:rsid w:val="00BD5391"/>
    <w:rsid w:val="00BD5987"/>
    <w:rsid w:val="00BD764C"/>
    <w:rsid w:val="00BE6237"/>
    <w:rsid w:val="00BF56B2"/>
    <w:rsid w:val="00C03EFB"/>
    <w:rsid w:val="00C055AB"/>
    <w:rsid w:val="00C11F95"/>
    <w:rsid w:val="00C136DF"/>
    <w:rsid w:val="00C17501"/>
    <w:rsid w:val="00C232C2"/>
    <w:rsid w:val="00C25380"/>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D6BA9"/>
    <w:rsid w:val="00CF36C9"/>
    <w:rsid w:val="00D00EC4"/>
    <w:rsid w:val="00D11E5D"/>
    <w:rsid w:val="00D164C8"/>
    <w:rsid w:val="00D166AC"/>
    <w:rsid w:val="00D16C4C"/>
    <w:rsid w:val="00D20B6F"/>
    <w:rsid w:val="00D36BA2"/>
    <w:rsid w:val="00D37CF4"/>
    <w:rsid w:val="00D4487C"/>
    <w:rsid w:val="00D461EF"/>
    <w:rsid w:val="00D63D33"/>
    <w:rsid w:val="00D73352"/>
    <w:rsid w:val="00D74EA4"/>
    <w:rsid w:val="00D84E46"/>
    <w:rsid w:val="00D935C3"/>
    <w:rsid w:val="00DA0266"/>
    <w:rsid w:val="00DA0F4B"/>
    <w:rsid w:val="00DA477E"/>
    <w:rsid w:val="00DB4BB0"/>
    <w:rsid w:val="00DC2F6C"/>
    <w:rsid w:val="00DD0C2F"/>
    <w:rsid w:val="00DE461D"/>
    <w:rsid w:val="00DF5C53"/>
    <w:rsid w:val="00DF749E"/>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A66F4"/>
    <w:rsid w:val="00EB488E"/>
    <w:rsid w:val="00EB5FCA"/>
    <w:rsid w:val="00ED7F68"/>
    <w:rsid w:val="00EF2575"/>
    <w:rsid w:val="00EF5828"/>
    <w:rsid w:val="00F048D4"/>
    <w:rsid w:val="00F207FE"/>
    <w:rsid w:val="00F20920"/>
    <w:rsid w:val="00F23212"/>
    <w:rsid w:val="00F33B16"/>
    <w:rsid w:val="00F353EA"/>
    <w:rsid w:val="00F36C27"/>
    <w:rsid w:val="00F56318"/>
    <w:rsid w:val="00F67C95"/>
    <w:rsid w:val="00F74540"/>
    <w:rsid w:val="00F75B79"/>
    <w:rsid w:val="00F82525"/>
    <w:rsid w:val="00F91AC4"/>
    <w:rsid w:val="00F97FEA"/>
    <w:rsid w:val="00FA2DD8"/>
    <w:rsid w:val="00FB1BE4"/>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styleId="NichtaufgelsteErwhnung">
    <w:name w:val="Unresolved Mention"/>
    <w:basedOn w:val="Absatz-Standardschriftart"/>
    <w:uiPriority w:val="99"/>
    <w:semiHidden/>
    <w:unhideWhenUsed/>
    <w:rsid w:val="00A76CDD"/>
    <w:rPr>
      <w:color w:val="605E5C"/>
      <w:shd w:val="clear" w:color="auto" w:fill="E1DFDD"/>
    </w:rPr>
  </w:style>
  <w:style w:type="paragraph" w:styleId="berarbeitung">
    <w:name w:val="Revision"/>
    <w:hidden/>
    <w:uiPriority w:val="71"/>
    <w:semiHidden/>
    <w:rsid w:val="00DF749E"/>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irtgen-group.com"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7.svg"/><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997</Words>
  <Characters>6287</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7270</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Zierden-Schwietert Monika</cp:lastModifiedBy>
  <cp:revision>6</cp:revision>
  <cp:lastPrinted>2021-10-20T14:00:00Z</cp:lastPrinted>
  <dcterms:created xsi:type="dcterms:W3CDTF">2026-01-26T09:11:00Z</dcterms:created>
  <dcterms:modified xsi:type="dcterms:W3CDTF">2026-02-12T08:58:00Z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4,a,e</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2023-04-12T08:40:29Z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9b1c2a2b-a09a-4b16-8b72-328209d6c537</vt:lpwstr>
  </property>
  <property fmtid="{D5CDD505-2E9C-101B-9397-08002B2CF9AE}" pid="11" name="MSIP_Label_53eb3ead-8c2d-4695-9d06-baf35a321a90_ContentBits">
    <vt:lpwstr>1</vt:lpwstr>
  </property>
</Properties>
</file>